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AD063" w14:textId="77777777" w:rsidR="00722A35" w:rsidRDefault="007B2038">
      <w:pPr>
        <w:widowControl/>
        <w:spacing w:line="600" w:lineRule="exact"/>
        <w:jc w:val="center"/>
        <w:rPr>
          <w:rFonts w:ascii="黑体" w:eastAsia="黑体" w:hAnsi="黑体" w:cs="宋体"/>
          <w:bCs/>
          <w:color w:val="000000"/>
          <w:kern w:val="0"/>
          <w:sz w:val="28"/>
          <w:szCs w:val="28"/>
          <w:lang w:bidi="ar"/>
        </w:rPr>
      </w:pPr>
      <w:r>
        <w:rPr>
          <w:rFonts w:ascii="黑体" w:eastAsia="黑体" w:hAnsi="黑体" w:cs="宋体" w:hint="eastAsia"/>
          <w:bCs/>
          <w:color w:val="000000"/>
          <w:kern w:val="0"/>
          <w:sz w:val="32"/>
          <w:szCs w:val="28"/>
          <w:lang w:bidi="ar"/>
        </w:rPr>
        <w:t>材料科学与工程学院202</w:t>
      </w:r>
      <w:r>
        <w:rPr>
          <w:rFonts w:ascii="黑体" w:eastAsia="黑体" w:hAnsi="黑体" w:cs="宋体"/>
          <w:bCs/>
          <w:color w:val="000000"/>
          <w:kern w:val="0"/>
          <w:sz w:val="32"/>
          <w:szCs w:val="28"/>
          <w:lang w:bidi="ar"/>
        </w:rPr>
        <w:t>5</w:t>
      </w:r>
      <w:r>
        <w:rPr>
          <w:rFonts w:ascii="黑体" w:eastAsia="黑体" w:hAnsi="黑体" w:cs="宋体" w:hint="eastAsia"/>
          <w:bCs/>
          <w:color w:val="000000"/>
          <w:kern w:val="0"/>
          <w:sz w:val="32"/>
          <w:szCs w:val="28"/>
          <w:lang w:bidi="ar"/>
        </w:rPr>
        <w:t>级本科生转专业工作实施细则</w:t>
      </w:r>
    </w:p>
    <w:p w14:paraId="14181D85" w14:textId="77777777" w:rsidR="00722A35" w:rsidRDefault="007B2038">
      <w:pPr>
        <w:widowControl/>
        <w:shd w:val="clear" w:color="auto" w:fill="FFFFFF"/>
        <w:spacing w:beforeLines="100" w:before="312" w:line="600" w:lineRule="exact"/>
        <w:ind w:firstLine="556"/>
        <w:outlineLvl w:val="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 xml:space="preserve">根据西华大学全日制本科学生转专业相关规定和《关于开展2025级本科生转专业工作的通知》要求，结合学院实际，经学院转专业工作考核小组研究决定，特制定本学院本科生转专业工作实施细则。 </w:t>
      </w:r>
    </w:p>
    <w:p w14:paraId="3151698F" w14:textId="77A7E55E" w:rsidR="00722A35" w:rsidRDefault="007B2038">
      <w:pPr>
        <w:pStyle w:val="a7"/>
        <w:shd w:val="clear" w:color="auto" w:fill="FFFFFF"/>
        <w:spacing w:before="0" w:beforeAutospacing="0" w:after="0" w:afterAutospacing="0" w:line="600" w:lineRule="exact"/>
        <w:ind w:firstLine="600"/>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一、接收计划</w:t>
      </w:r>
    </w:p>
    <w:tbl>
      <w:tblPr>
        <w:tblStyle w:val="a8"/>
        <w:tblW w:w="8804" w:type="dxa"/>
        <w:jc w:val="center"/>
        <w:tblLook w:val="04A0" w:firstRow="1" w:lastRow="0" w:firstColumn="1" w:lastColumn="0" w:noHBand="0" w:noVBand="1"/>
      </w:tblPr>
      <w:tblGrid>
        <w:gridCol w:w="929"/>
        <w:gridCol w:w="2913"/>
        <w:gridCol w:w="1507"/>
        <w:gridCol w:w="1567"/>
        <w:gridCol w:w="1888"/>
      </w:tblGrid>
      <w:tr w:rsidR="00722A35" w14:paraId="21326010" w14:textId="77777777" w:rsidTr="00F0280A">
        <w:trPr>
          <w:trHeight w:val="1136"/>
          <w:jc w:val="center"/>
        </w:trPr>
        <w:tc>
          <w:tcPr>
            <w:tcW w:w="929" w:type="dxa"/>
            <w:vAlign w:val="center"/>
          </w:tcPr>
          <w:p w14:paraId="25B763A4" w14:textId="77777777" w:rsidR="00722A35" w:rsidRDefault="007B2038" w:rsidP="00F0280A">
            <w:pPr>
              <w:pStyle w:val="a7"/>
              <w:shd w:val="clear" w:color="auto" w:fill="FFFFFF"/>
              <w:spacing w:before="0" w:beforeAutospacing="0" w:after="0" w:afterAutospacing="0" w:line="32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年级</w:t>
            </w:r>
          </w:p>
        </w:tc>
        <w:tc>
          <w:tcPr>
            <w:tcW w:w="2913" w:type="dxa"/>
            <w:vAlign w:val="center"/>
          </w:tcPr>
          <w:p w14:paraId="4F3365AF" w14:textId="77777777" w:rsidR="00722A35" w:rsidRDefault="007B2038" w:rsidP="00F0280A">
            <w:pPr>
              <w:pStyle w:val="a7"/>
              <w:shd w:val="clear" w:color="auto" w:fill="FFFFFF"/>
              <w:spacing w:before="0" w:beforeAutospacing="0" w:after="0" w:afterAutospacing="0" w:line="32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专 业</w:t>
            </w:r>
          </w:p>
        </w:tc>
        <w:tc>
          <w:tcPr>
            <w:tcW w:w="1507" w:type="dxa"/>
            <w:vAlign w:val="center"/>
          </w:tcPr>
          <w:p w14:paraId="491F360D" w14:textId="77777777" w:rsidR="00722A35" w:rsidRDefault="007B2038" w:rsidP="00F0280A">
            <w:pPr>
              <w:pStyle w:val="a7"/>
              <w:shd w:val="clear" w:color="auto" w:fill="FFFFFF"/>
              <w:spacing w:before="0" w:beforeAutospacing="0" w:after="0" w:afterAutospacing="0" w:line="320" w:lineRule="exact"/>
              <w:jc w:val="center"/>
              <w:rPr>
                <w:rFonts w:ascii="仿宋" w:eastAsia="仿宋" w:hAnsi="仿宋" w:cs="仿宋"/>
                <w:sz w:val="28"/>
                <w:szCs w:val="28"/>
              </w:rPr>
            </w:pPr>
            <w:bookmarkStart w:id="0" w:name="OLE_LINK3"/>
            <w:bookmarkStart w:id="1" w:name="OLE_LINK4"/>
            <w:r>
              <w:rPr>
                <w:rFonts w:ascii="仿宋" w:eastAsia="仿宋" w:hAnsi="仿宋" w:cs="仿宋" w:hint="eastAsia"/>
                <w:sz w:val="28"/>
                <w:szCs w:val="28"/>
              </w:rPr>
              <w:t>拟接收学生数上限</w:t>
            </w:r>
            <w:bookmarkEnd w:id="0"/>
            <w:bookmarkEnd w:id="1"/>
          </w:p>
        </w:tc>
        <w:tc>
          <w:tcPr>
            <w:tcW w:w="1567" w:type="dxa"/>
            <w:vAlign w:val="center"/>
          </w:tcPr>
          <w:p w14:paraId="67404B65" w14:textId="77777777" w:rsidR="00722A35" w:rsidRDefault="007B2038" w:rsidP="00F0280A">
            <w:pPr>
              <w:pStyle w:val="a7"/>
              <w:shd w:val="clear" w:color="auto" w:fill="FFFFFF"/>
              <w:spacing w:before="0" w:beforeAutospacing="0" w:after="0" w:afterAutospacing="0" w:line="320" w:lineRule="exact"/>
              <w:jc w:val="center"/>
              <w:rPr>
                <w:rFonts w:ascii="仿宋" w:eastAsia="仿宋" w:hAnsi="仿宋" w:cs="仿宋"/>
                <w:sz w:val="28"/>
                <w:szCs w:val="28"/>
              </w:rPr>
            </w:pPr>
            <w:r>
              <w:rPr>
                <w:rFonts w:ascii="仿宋" w:eastAsia="仿宋" w:hAnsi="仿宋" w:cs="仿宋" w:hint="eastAsia"/>
                <w:sz w:val="28"/>
                <w:szCs w:val="28"/>
              </w:rPr>
              <w:t>其中，拟接收本院学生数上限</w:t>
            </w:r>
          </w:p>
        </w:tc>
        <w:tc>
          <w:tcPr>
            <w:tcW w:w="1888" w:type="dxa"/>
            <w:vAlign w:val="center"/>
          </w:tcPr>
          <w:p w14:paraId="0D542F9C" w14:textId="77777777" w:rsidR="00722A35" w:rsidRDefault="007B2038" w:rsidP="00F0280A">
            <w:pPr>
              <w:pStyle w:val="a7"/>
              <w:shd w:val="clear" w:color="auto" w:fill="FFFFFF"/>
              <w:spacing w:before="0" w:beforeAutospacing="0" w:after="0" w:afterAutospacing="0" w:line="320" w:lineRule="exact"/>
              <w:jc w:val="center"/>
              <w:rPr>
                <w:rFonts w:ascii="仿宋" w:eastAsia="仿宋" w:hAnsi="仿宋" w:cs="仿宋"/>
                <w:sz w:val="28"/>
                <w:szCs w:val="28"/>
              </w:rPr>
            </w:pPr>
            <w:r>
              <w:rPr>
                <w:rFonts w:ascii="仿宋" w:eastAsia="仿宋" w:hAnsi="仿宋" w:cs="仿宋" w:hint="eastAsia"/>
                <w:sz w:val="28"/>
                <w:szCs w:val="28"/>
              </w:rPr>
              <w:t>拟接收学生数占该专业当级在校生人数百分比</w:t>
            </w:r>
          </w:p>
        </w:tc>
      </w:tr>
      <w:tr w:rsidR="00722A35" w14:paraId="4385F64C" w14:textId="77777777" w:rsidTr="00F0280A">
        <w:trPr>
          <w:trHeight w:val="497"/>
          <w:jc w:val="center"/>
        </w:trPr>
        <w:tc>
          <w:tcPr>
            <w:tcW w:w="929" w:type="dxa"/>
          </w:tcPr>
          <w:p w14:paraId="6B20F4E3"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hint="eastAsia"/>
                <w:sz w:val="28"/>
                <w:szCs w:val="28"/>
              </w:rPr>
              <w:t>202</w:t>
            </w:r>
            <w:r>
              <w:rPr>
                <w:rFonts w:ascii="仿宋" w:eastAsia="仿宋" w:hAnsi="仿宋" w:cs="仿宋"/>
                <w:sz w:val="28"/>
                <w:szCs w:val="28"/>
              </w:rPr>
              <w:t>5</w:t>
            </w:r>
          </w:p>
        </w:tc>
        <w:tc>
          <w:tcPr>
            <w:tcW w:w="2913" w:type="dxa"/>
            <w:tcBorders>
              <w:top w:val="single" w:sz="4" w:space="0" w:color="auto"/>
              <w:left w:val="single" w:sz="4" w:space="0" w:color="auto"/>
              <w:bottom w:val="single" w:sz="4" w:space="0" w:color="auto"/>
              <w:right w:val="single" w:sz="4" w:space="0" w:color="auto"/>
            </w:tcBorders>
            <w:shd w:val="clear" w:color="auto" w:fill="auto"/>
            <w:vAlign w:val="bottom"/>
          </w:tcPr>
          <w:p w14:paraId="010C8F31" w14:textId="77777777" w:rsidR="00722A35" w:rsidRDefault="007B2038">
            <w:pPr>
              <w:widowControl/>
              <w:spacing w:line="600" w:lineRule="exact"/>
              <w:jc w:val="left"/>
              <w:rPr>
                <w:rFonts w:ascii="仿宋" w:eastAsia="仿宋" w:hAnsi="仿宋" w:cs="仿宋"/>
                <w:kern w:val="0"/>
                <w:sz w:val="28"/>
                <w:szCs w:val="28"/>
              </w:rPr>
            </w:pPr>
            <w:r>
              <w:rPr>
                <w:rFonts w:ascii="仿宋" w:eastAsia="仿宋" w:hAnsi="仿宋" w:cs="仿宋" w:hint="eastAsia"/>
                <w:kern w:val="0"/>
                <w:sz w:val="28"/>
                <w:szCs w:val="28"/>
              </w:rPr>
              <w:t>材料科学与工程</w:t>
            </w:r>
          </w:p>
        </w:tc>
        <w:tc>
          <w:tcPr>
            <w:tcW w:w="1507" w:type="dxa"/>
            <w:vAlign w:val="bottom"/>
          </w:tcPr>
          <w:p w14:paraId="0C66A549"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14</w:t>
            </w:r>
          </w:p>
        </w:tc>
        <w:tc>
          <w:tcPr>
            <w:tcW w:w="1567" w:type="dxa"/>
          </w:tcPr>
          <w:p w14:paraId="63E59DB8"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7</w:t>
            </w:r>
          </w:p>
        </w:tc>
        <w:tc>
          <w:tcPr>
            <w:tcW w:w="1888" w:type="dxa"/>
          </w:tcPr>
          <w:p w14:paraId="24AE33BC"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14.7%</w:t>
            </w:r>
          </w:p>
        </w:tc>
      </w:tr>
      <w:tr w:rsidR="00722A35" w14:paraId="603CEF57" w14:textId="77777777" w:rsidTr="00F0280A">
        <w:trPr>
          <w:trHeight w:val="578"/>
          <w:jc w:val="center"/>
        </w:trPr>
        <w:tc>
          <w:tcPr>
            <w:tcW w:w="929" w:type="dxa"/>
          </w:tcPr>
          <w:p w14:paraId="46D8327B"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hint="eastAsia"/>
                <w:sz w:val="28"/>
                <w:szCs w:val="28"/>
              </w:rPr>
              <w:t>202</w:t>
            </w:r>
            <w:r>
              <w:rPr>
                <w:rFonts w:ascii="仿宋" w:eastAsia="仿宋" w:hAnsi="仿宋" w:cs="仿宋"/>
                <w:sz w:val="28"/>
                <w:szCs w:val="28"/>
              </w:rPr>
              <w:t>5</w:t>
            </w:r>
          </w:p>
        </w:tc>
        <w:tc>
          <w:tcPr>
            <w:tcW w:w="2913" w:type="dxa"/>
            <w:tcBorders>
              <w:top w:val="nil"/>
              <w:left w:val="single" w:sz="4" w:space="0" w:color="auto"/>
              <w:bottom w:val="single" w:sz="4" w:space="0" w:color="auto"/>
              <w:right w:val="single" w:sz="4" w:space="0" w:color="auto"/>
            </w:tcBorders>
            <w:shd w:val="clear" w:color="auto" w:fill="auto"/>
            <w:vAlign w:val="bottom"/>
          </w:tcPr>
          <w:p w14:paraId="2209ADC1" w14:textId="77777777" w:rsidR="00722A35" w:rsidRDefault="007B2038">
            <w:pPr>
              <w:spacing w:line="600" w:lineRule="exact"/>
              <w:rPr>
                <w:rFonts w:ascii="仿宋" w:eastAsia="仿宋" w:hAnsi="仿宋" w:cs="仿宋"/>
                <w:kern w:val="0"/>
                <w:sz w:val="28"/>
                <w:szCs w:val="28"/>
              </w:rPr>
            </w:pPr>
            <w:r>
              <w:rPr>
                <w:rFonts w:ascii="仿宋" w:eastAsia="仿宋" w:hAnsi="仿宋" w:cs="仿宋" w:hint="eastAsia"/>
                <w:kern w:val="0"/>
                <w:sz w:val="28"/>
                <w:szCs w:val="28"/>
              </w:rPr>
              <w:t>材料成型及控制工程</w:t>
            </w:r>
          </w:p>
        </w:tc>
        <w:tc>
          <w:tcPr>
            <w:tcW w:w="1507" w:type="dxa"/>
            <w:vAlign w:val="bottom"/>
          </w:tcPr>
          <w:p w14:paraId="050CCD97"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14</w:t>
            </w:r>
          </w:p>
        </w:tc>
        <w:tc>
          <w:tcPr>
            <w:tcW w:w="1567" w:type="dxa"/>
          </w:tcPr>
          <w:p w14:paraId="079CCAB2"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7</w:t>
            </w:r>
          </w:p>
        </w:tc>
        <w:tc>
          <w:tcPr>
            <w:tcW w:w="1888" w:type="dxa"/>
          </w:tcPr>
          <w:p w14:paraId="66483A7E"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14.9%</w:t>
            </w:r>
          </w:p>
        </w:tc>
      </w:tr>
      <w:tr w:rsidR="00722A35" w14:paraId="4EDEEE10" w14:textId="77777777" w:rsidTr="00F0280A">
        <w:trPr>
          <w:trHeight w:val="578"/>
          <w:jc w:val="center"/>
        </w:trPr>
        <w:tc>
          <w:tcPr>
            <w:tcW w:w="929" w:type="dxa"/>
          </w:tcPr>
          <w:p w14:paraId="7627F903"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hint="eastAsia"/>
                <w:sz w:val="28"/>
                <w:szCs w:val="28"/>
              </w:rPr>
              <w:t>202</w:t>
            </w:r>
            <w:r>
              <w:rPr>
                <w:rFonts w:ascii="仿宋" w:eastAsia="仿宋" w:hAnsi="仿宋" w:cs="仿宋"/>
                <w:sz w:val="28"/>
                <w:szCs w:val="28"/>
              </w:rPr>
              <w:t>5</w:t>
            </w:r>
          </w:p>
        </w:tc>
        <w:tc>
          <w:tcPr>
            <w:tcW w:w="2913" w:type="dxa"/>
            <w:tcBorders>
              <w:top w:val="nil"/>
              <w:left w:val="single" w:sz="4" w:space="0" w:color="auto"/>
              <w:bottom w:val="single" w:sz="4" w:space="0" w:color="auto"/>
              <w:right w:val="single" w:sz="4" w:space="0" w:color="auto"/>
            </w:tcBorders>
            <w:shd w:val="clear" w:color="auto" w:fill="auto"/>
            <w:vAlign w:val="bottom"/>
          </w:tcPr>
          <w:p w14:paraId="31C76BEA" w14:textId="77777777" w:rsidR="00722A35" w:rsidRDefault="007B2038">
            <w:pPr>
              <w:spacing w:line="600" w:lineRule="exact"/>
              <w:rPr>
                <w:rFonts w:ascii="仿宋" w:eastAsia="仿宋" w:hAnsi="仿宋" w:cs="仿宋"/>
                <w:kern w:val="0"/>
                <w:sz w:val="28"/>
                <w:szCs w:val="28"/>
              </w:rPr>
            </w:pPr>
            <w:r>
              <w:rPr>
                <w:rFonts w:ascii="仿宋" w:eastAsia="仿宋" w:hAnsi="仿宋" w:cs="仿宋" w:hint="eastAsia"/>
                <w:kern w:val="0"/>
                <w:sz w:val="28"/>
                <w:szCs w:val="28"/>
              </w:rPr>
              <w:t>纳米材料与技术</w:t>
            </w:r>
          </w:p>
        </w:tc>
        <w:tc>
          <w:tcPr>
            <w:tcW w:w="1507" w:type="dxa"/>
            <w:vAlign w:val="bottom"/>
          </w:tcPr>
          <w:p w14:paraId="6299E174"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15</w:t>
            </w:r>
          </w:p>
        </w:tc>
        <w:tc>
          <w:tcPr>
            <w:tcW w:w="1567" w:type="dxa"/>
          </w:tcPr>
          <w:p w14:paraId="603502AF"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7</w:t>
            </w:r>
          </w:p>
        </w:tc>
        <w:tc>
          <w:tcPr>
            <w:tcW w:w="1888" w:type="dxa"/>
          </w:tcPr>
          <w:p w14:paraId="5376C590"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14.7%</w:t>
            </w:r>
          </w:p>
        </w:tc>
      </w:tr>
      <w:tr w:rsidR="00722A35" w14:paraId="7A102C87" w14:textId="77777777" w:rsidTr="00F0280A">
        <w:trPr>
          <w:trHeight w:val="578"/>
          <w:jc w:val="center"/>
        </w:trPr>
        <w:tc>
          <w:tcPr>
            <w:tcW w:w="929" w:type="dxa"/>
          </w:tcPr>
          <w:p w14:paraId="6D4C94A4"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hint="eastAsia"/>
                <w:sz w:val="28"/>
                <w:szCs w:val="28"/>
              </w:rPr>
              <w:t>202</w:t>
            </w:r>
            <w:r>
              <w:rPr>
                <w:rFonts w:ascii="仿宋" w:eastAsia="仿宋" w:hAnsi="仿宋" w:cs="仿宋"/>
                <w:sz w:val="28"/>
                <w:szCs w:val="28"/>
              </w:rPr>
              <w:t>5</w:t>
            </w:r>
          </w:p>
        </w:tc>
        <w:tc>
          <w:tcPr>
            <w:tcW w:w="2913" w:type="dxa"/>
            <w:tcBorders>
              <w:top w:val="nil"/>
              <w:left w:val="single" w:sz="4" w:space="0" w:color="auto"/>
              <w:bottom w:val="single" w:sz="4" w:space="0" w:color="auto"/>
              <w:right w:val="single" w:sz="4" w:space="0" w:color="auto"/>
            </w:tcBorders>
            <w:shd w:val="clear" w:color="auto" w:fill="auto"/>
            <w:vAlign w:val="bottom"/>
          </w:tcPr>
          <w:p w14:paraId="2C2FCAF4" w14:textId="77777777" w:rsidR="00722A35" w:rsidRDefault="007B2038">
            <w:pPr>
              <w:spacing w:line="600" w:lineRule="exact"/>
              <w:rPr>
                <w:rFonts w:ascii="仿宋" w:eastAsia="仿宋" w:hAnsi="仿宋" w:cs="仿宋"/>
                <w:kern w:val="0"/>
                <w:sz w:val="28"/>
                <w:szCs w:val="28"/>
              </w:rPr>
            </w:pPr>
            <w:r>
              <w:rPr>
                <w:rFonts w:ascii="仿宋" w:eastAsia="仿宋" w:hAnsi="仿宋" w:cs="仿宋" w:hint="eastAsia"/>
                <w:kern w:val="0"/>
                <w:sz w:val="28"/>
                <w:szCs w:val="28"/>
              </w:rPr>
              <w:t>增材制造工程</w:t>
            </w:r>
          </w:p>
        </w:tc>
        <w:tc>
          <w:tcPr>
            <w:tcW w:w="1507" w:type="dxa"/>
            <w:vAlign w:val="bottom"/>
          </w:tcPr>
          <w:p w14:paraId="6AFD32CE"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15</w:t>
            </w:r>
          </w:p>
        </w:tc>
        <w:tc>
          <w:tcPr>
            <w:tcW w:w="1567" w:type="dxa"/>
          </w:tcPr>
          <w:p w14:paraId="1E006D59"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7</w:t>
            </w:r>
          </w:p>
        </w:tc>
        <w:tc>
          <w:tcPr>
            <w:tcW w:w="1888" w:type="dxa"/>
          </w:tcPr>
          <w:p w14:paraId="1E22CFCB" w14:textId="77777777" w:rsidR="00722A35" w:rsidRDefault="007B2038">
            <w:pPr>
              <w:pStyle w:val="a7"/>
              <w:shd w:val="clear" w:color="auto" w:fill="FFFFFF"/>
              <w:spacing w:before="0" w:beforeAutospacing="0" w:after="0" w:afterAutospacing="0" w:line="600" w:lineRule="exact"/>
              <w:jc w:val="center"/>
              <w:rPr>
                <w:rFonts w:ascii="仿宋" w:eastAsia="仿宋" w:hAnsi="仿宋" w:cs="仿宋"/>
                <w:sz w:val="28"/>
                <w:szCs w:val="28"/>
              </w:rPr>
            </w:pPr>
            <w:r>
              <w:rPr>
                <w:rFonts w:ascii="仿宋" w:eastAsia="仿宋" w:hAnsi="仿宋" w:cs="仿宋"/>
                <w:sz w:val="28"/>
                <w:szCs w:val="28"/>
              </w:rPr>
              <w:t>14.7%</w:t>
            </w:r>
          </w:p>
        </w:tc>
      </w:tr>
    </w:tbl>
    <w:p w14:paraId="16D33C1C" w14:textId="626C8143" w:rsidR="00722A35" w:rsidRDefault="007B2038">
      <w:pPr>
        <w:pStyle w:val="a7"/>
        <w:shd w:val="clear" w:color="auto" w:fill="FFFFFF"/>
        <w:spacing w:beforeLines="50" w:before="156" w:beforeAutospacing="0" w:after="0" w:afterAutospacing="0" w:line="600" w:lineRule="exact"/>
        <w:ind w:firstLineChars="200" w:firstLine="562"/>
        <w:jc w:val="both"/>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二、转入申请条件</w:t>
      </w:r>
    </w:p>
    <w:p w14:paraId="6F4ABAB6" w14:textId="77777777" w:rsidR="00722A35" w:rsidRDefault="007B2038">
      <w:pPr>
        <w:pStyle w:val="a7"/>
        <w:shd w:val="clear" w:color="auto" w:fill="FFFFFF"/>
        <w:spacing w:beforeLines="50" w:before="156" w:beforeAutospacing="0" w:after="0" w:afterAutospacing="0" w:line="600" w:lineRule="exact"/>
        <w:ind w:firstLineChars="200" w:firstLine="560"/>
        <w:jc w:val="both"/>
        <w:rPr>
          <w:rFonts w:ascii="仿宋" w:eastAsia="仿宋" w:hAnsi="仿宋" w:cs="仿宋"/>
          <w:kern w:val="2"/>
          <w:sz w:val="28"/>
          <w:szCs w:val="28"/>
        </w:rPr>
      </w:pPr>
      <w:r>
        <w:rPr>
          <w:rFonts w:ascii="仿宋" w:eastAsia="仿宋" w:hAnsi="仿宋" w:cs="仿宋"/>
          <w:kern w:val="2"/>
          <w:sz w:val="28"/>
          <w:szCs w:val="28"/>
        </w:rPr>
        <w:t>1.</w:t>
      </w:r>
      <w:r>
        <w:rPr>
          <w:rFonts w:ascii="仿宋" w:eastAsia="仿宋" w:hAnsi="仿宋" w:cs="仿宋" w:hint="eastAsia"/>
          <w:kern w:val="2"/>
          <w:sz w:val="28"/>
          <w:szCs w:val="28"/>
        </w:rPr>
        <w:t>符合</w:t>
      </w:r>
      <w:r>
        <w:rPr>
          <w:rFonts w:ascii="仿宋" w:eastAsia="仿宋" w:hAnsi="仿宋" w:cs="仿宋" w:hint="eastAsia"/>
          <w:color w:val="000000" w:themeColor="text1"/>
          <w:sz w:val="28"/>
          <w:szCs w:val="28"/>
        </w:rPr>
        <w:t>西华大学全日制本科学生转专业相关规定</w:t>
      </w:r>
      <w:r>
        <w:rPr>
          <w:rFonts w:ascii="仿宋" w:eastAsia="仿宋" w:hAnsi="仿宋" w:cs="仿宋" w:hint="eastAsia"/>
          <w:kern w:val="2"/>
          <w:sz w:val="28"/>
          <w:szCs w:val="28"/>
        </w:rPr>
        <w:t>的转专业类别与资格条件，</w:t>
      </w:r>
      <w:r>
        <w:rPr>
          <w:rFonts w:ascii="仿宋" w:eastAsia="仿宋" w:hAnsi="仿宋" w:cs="仿宋"/>
          <w:sz w:val="28"/>
          <w:szCs w:val="28"/>
        </w:rPr>
        <w:t>入学以来无</w:t>
      </w:r>
      <w:r>
        <w:rPr>
          <w:rFonts w:ascii="仿宋" w:eastAsia="仿宋" w:hAnsi="仿宋" w:cs="仿宋" w:hint="eastAsia"/>
          <w:sz w:val="28"/>
          <w:szCs w:val="28"/>
        </w:rPr>
        <w:t>违规</w:t>
      </w:r>
      <w:r>
        <w:rPr>
          <w:rFonts w:ascii="仿宋" w:eastAsia="仿宋" w:hAnsi="仿宋" w:cs="仿宋"/>
          <w:sz w:val="28"/>
          <w:szCs w:val="28"/>
        </w:rPr>
        <w:t>违纪处分记录</w:t>
      </w:r>
      <w:r>
        <w:rPr>
          <w:rFonts w:ascii="仿宋" w:eastAsia="仿宋" w:hAnsi="仿宋" w:cs="仿宋" w:hint="eastAsia"/>
          <w:kern w:val="2"/>
          <w:sz w:val="28"/>
          <w:szCs w:val="28"/>
        </w:rPr>
        <w:t>。</w:t>
      </w:r>
    </w:p>
    <w:p w14:paraId="713C2D5D" w14:textId="77777777" w:rsidR="00722A35" w:rsidRDefault="007B2038">
      <w:pPr>
        <w:pStyle w:val="a7"/>
        <w:shd w:val="clear" w:color="auto" w:fill="FFFFFF"/>
        <w:spacing w:beforeLines="50" w:before="156" w:beforeAutospacing="0" w:after="0" w:afterAutospacing="0" w:line="600" w:lineRule="exact"/>
        <w:ind w:firstLineChars="200" w:firstLine="560"/>
        <w:jc w:val="both"/>
        <w:rPr>
          <w:rFonts w:ascii="仿宋" w:eastAsia="仿宋" w:hAnsi="仿宋" w:cs="仿宋"/>
          <w:kern w:val="2"/>
          <w:sz w:val="28"/>
          <w:szCs w:val="28"/>
        </w:rPr>
      </w:pPr>
      <w:r>
        <w:rPr>
          <w:rFonts w:ascii="仿宋" w:eastAsia="仿宋" w:hAnsi="仿宋" w:cs="仿宋" w:hint="eastAsia"/>
          <w:kern w:val="2"/>
          <w:sz w:val="28"/>
          <w:szCs w:val="28"/>
        </w:rPr>
        <w:t>2</w:t>
      </w:r>
      <w:r>
        <w:rPr>
          <w:rFonts w:ascii="仿宋" w:eastAsia="仿宋" w:hAnsi="仿宋" w:cs="仿宋"/>
          <w:kern w:val="2"/>
          <w:sz w:val="28"/>
          <w:szCs w:val="28"/>
        </w:rPr>
        <w:t>.</w:t>
      </w:r>
      <w:r>
        <w:rPr>
          <w:rFonts w:ascii="仿宋" w:eastAsia="仿宋" w:hAnsi="仿宋" w:cs="仿宋" w:hint="eastAsia"/>
          <w:kern w:val="2"/>
          <w:sz w:val="28"/>
          <w:szCs w:val="28"/>
        </w:rPr>
        <w:t>普通高等学校招生全国统一考试科目应包含理科综合或化学和物理。</w:t>
      </w:r>
    </w:p>
    <w:p w14:paraId="3BACF9FA" w14:textId="77777777" w:rsidR="00722A35" w:rsidRDefault="007B2038">
      <w:pPr>
        <w:pStyle w:val="a7"/>
        <w:shd w:val="clear" w:color="auto" w:fill="FFFFFF"/>
        <w:spacing w:beforeLines="50" w:before="156" w:beforeAutospacing="0" w:after="0" w:afterAutospacing="0" w:line="600" w:lineRule="exact"/>
        <w:ind w:firstLineChars="200" w:firstLine="560"/>
        <w:jc w:val="both"/>
        <w:rPr>
          <w:rFonts w:ascii="仿宋" w:eastAsia="仿宋" w:hAnsi="仿宋" w:cs="仿宋"/>
          <w:sz w:val="28"/>
          <w:szCs w:val="28"/>
        </w:rPr>
      </w:pPr>
      <w:r>
        <w:rPr>
          <w:rFonts w:ascii="仿宋" w:eastAsia="仿宋" w:hAnsi="仿宋" w:cs="仿宋" w:hint="eastAsia"/>
          <w:kern w:val="2"/>
          <w:sz w:val="28"/>
          <w:szCs w:val="28"/>
        </w:rPr>
        <w:t>3.</w:t>
      </w:r>
      <w:r>
        <w:rPr>
          <w:rFonts w:ascii="仿宋" w:eastAsia="仿宋" w:hAnsi="仿宋" w:cs="仿宋"/>
          <w:sz w:val="28"/>
          <w:szCs w:val="28"/>
        </w:rPr>
        <w:t>已修读课程无不及格记录</w:t>
      </w:r>
      <w:r>
        <w:rPr>
          <w:rFonts w:ascii="仿宋" w:eastAsia="仿宋" w:hAnsi="仿宋" w:cs="仿宋" w:hint="eastAsia"/>
          <w:sz w:val="28"/>
          <w:szCs w:val="28"/>
        </w:rPr>
        <w:t>。</w:t>
      </w:r>
    </w:p>
    <w:p w14:paraId="1E37EF34" w14:textId="77777777" w:rsidR="00722A35" w:rsidRDefault="007B2038">
      <w:pPr>
        <w:pStyle w:val="a7"/>
        <w:shd w:val="clear" w:color="auto" w:fill="FFFFFF"/>
        <w:spacing w:beforeLines="50" w:before="156" w:beforeAutospacing="0" w:after="0" w:afterAutospacing="0" w:line="600" w:lineRule="exact"/>
        <w:ind w:firstLineChars="200" w:firstLine="560"/>
        <w:jc w:val="both"/>
        <w:rPr>
          <w:rFonts w:ascii="仿宋" w:eastAsia="仿宋" w:hAnsi="仿宋" w:cs="仿宋"/>
          <w:sz w:val="28"/>
          <w:szCs w:val="28"/>
        </w:rPr>
      </w:pPr>
      <w:r>
        <w:rPr>
          <w:rFonts w:ascii="仿宋" w:eastAsia="仿宋" w:hAnsi="仿宋" w:cs="仿宋" w:hint="eastAsia"/>
          <w:sz w:val="28"/>
          <w:szCs w:val="28"/>
        </w:rPr>
        <w:t>4.如已修读或正在修读高等数学、线性代数、大学物理、工程制图课程，可正常转入相同年级学习（已修课程按照学校相关文件规定认定学分）。</w:t>
      </w:r>
    </w:p>
    <w:p w14:paraId="5302F04B" w14:textId="77777777" w:rsidR="00722A35" w:rsidRDefault="007B2038">
      <w:pPr>
        <w:pStyle w:val="a7"/>
        <w:shd w:val="clear" w:color="auto" w:fill="FFFFFF"/>
        <w:spacing w:beforeLines="50" w:before="156" w:beforeAutospacing="0" w:after="0" w:afterAutospacing="0" w:line="600" w:lineRule="exact"/>
        <w:ind w:firstLineChars="200" w:firstLine="560"/>
        <w:jc w:val="both"/>
        <w:rPr>
          <w:rFonts w:ascii="仿宋" w:eastAsia="仿宋" w:hAnsi="仿宋" w:cs="仿宋"/>
          <w:sz w:val="28"/>
          <w:szCs w:val="28"/>
        </w:rPr>
      </w:pPr>
      <w:r>
        <w:rPr>
          <w:rFonts w:ascii="仿宋" w:eastAsia="仿宋" w:hAnsi="仿宋" w:cs="仿宋" w:hint="eastAsia"/>
          <w:sz w:val="28"/>
          <w:szCs w:val="28"/>
        </w:rPr>
        <w:t>5.如未修读第4条中所述课程中的任意一门课程，则需降转到下一年级学习（已修课程按照学校相关文件规定认定学分）。</w:t>
      </w:r>
    </w:p>
    <w:p w14:paraId="440BF85A" w14:textId="09B41B49" w:rsidR="00722A35" w:rsidRDefault="007B2038">
      <w:pPr>
        <w:pStyle w:val="a7"/>
        <w:shd w:val="clear" w:color="auto" w:fill="FFFFFF"/>
        <w:spacing w:beforeLines="50" w:before="156" w:beforeAutospacing="0" w:after="0" w:afterAutospacing="0" w:line="600" w:lineRule="exact"/>
        <w:ind w:firstLineChars="200" w:firstLine="560"/>
        <w:jc w:val="both"/>
        <w:rPr>
          <w:rFonts w:ascii="仿宋" w:eastAsia="仿宋" w:hAnsi="仿宋" w:cs="仿宋"/>
          <w:sz w:val="28"/>
          <w:szCs w:val="28"/>
        </w:rPr>
      </w:pPr>
      <w:r>
        <w:rPr>
          <w:rFonts w:ascii="仿宋" w:eastAsia="仿宋" w:hAnsi="仿宋" w:cs="仿宋"/>
          <w:kern w:val="2"/>
          <w:sz w:val="28"/>
          <w:szCs w:val="28"/>
        </w:rPr>
        <w:lastRenderedPageBreak/>
        <w:t>6.</w:t>
      </w:r>
      <w:r>
        <w:rPr>
          <w:rFonts w:ascii="仿宋" w:eastAsia="仿宋" w:hAnsi="仿宋" w:cs="仿宋" w:hint="eastAsia"/>
          <w:kern w:val="2"/>
          <w:sz w:val="28"/>
          <w:szCs w:val="28"/>
        </w:rPr>
        <w:t>若学生已修读物理类和化学类课程，其</w:t>
      </w:r>
      <w:r>
        <w:rPr>
          <w:rFonts w:ascii="仿宋" w:eastAsia="仿宋" w:hAnsi="仿宋" w:cs="仿宋"/>
          <w:sz w:val="28"/>
          <w:szCs w:val="28"/>
        </w:rPr>
        <w:t>正考成绩不得低于</w:t>
      </w:r>
      <w:r>
        <w:rPr>
          <w:rFonts w:ascii="仿宋" w:eastAsia="仿宋" w:hAnsi="仿宋" w:cs="仿宋" w:hint="eastAsia"/>
          <w:sz w:val="28"/>
          <w:szCs w:val="28"/>
        </w:rPr>
        <w:t>75</w:t>
      </w:r>
      <w:r>
        <w:rPr>
          <w:rFonts w:ascii="仿宋" w:eastAsia="仿宋" w:hAnsi="仿宋" w:cs="仿宋"/>
          <w:sz w:val="28"/>
          <w:szCs w:val="28"/>
        </w:rPr>
        <w:t>分</w:t>
      </w:r>
      <w:r>
        <w:rPr>
          <w:rFonts w:ascii="仿宋" w:eastAsia="仿宋" w:hAnsi="仿宋" w:cs="仿宋" w:hint="eastAsia"/>
          <w:sz w:val="28"/>
          <w:szCs w:val="28"/>
        </w:rPr>
        <w:t>；否则高考的</w:t>
      </w:r>
      <w:r>
        <w:rPr>
          <w:rFonts w:ascii="仿宋" w:eastAsia="仿宋" w:hAnsi="仿宋" w:cs="仿宋" w:hint="eastAsia"/>
          <w:kern w:val="2"/>
          <w:sz w:val="28"/>
          <w:szCs w:val="28"/>
        </w:rPr>
        <w:t>理科综合或化学和物理不低于该科总成绩的75%</w:t>
      </w:r>
      <w:r>
        <w:rPr>
          <w:rFonts w:ascii="仿宋" w:eastAsia="仿宋" w:hAnsi="仿宋" w:cs="仿宋" w:hint="eastAsia"/>
          <w:sz w:val="28"/>
          <w:szCs w:val="28"/>
        </w:rPr>
        <w:t>。</w:t>
      </w:r>
    </w:p>
    <w:p w14:paraId="624C1B7C" w14:textId="77777777" w:rsidR="00722A35" w:rsidRDefault="007B2038">
      <w:pPr>
        <w:pStyle w:val="a7"/>
        <w:shd w:val="clear" w:color="auto" w:fill="FFFFFF"/>
        <w:spacing w:beforeLines="50" w:before="156" w:beforeAutospacing="0" w:after="0" w:afterAutospacing="0" w:line="600" w:lineRule="exact"/>
        <w:ind w:firstLineChars="200" w:firstLine="560"/>
        <w:jc w:val="both"/>
        <w:rPr>
          <w:rFonts w:ascii="仿宋" w:eastAsia="仿宋" w:hAnsi="仿宋" w:cs="仿宋"/>
          <w:kern w:val="2"/>
          <w:sz w:val="28"/>
          <w:szCs w:val="28"/>
        </w:rPr>
      </w:pPr>
      <w:r>
        <w:rPr>
          <w:rFonts w:ascii="仿宋" w:eastAsia="仿宋" w:hAnsi="仿宋" w:cs="仿宋" w:hint="eastAsia"/>
          <w:kern w:val="2"/>
          <w:sz w:val="28"/>
          <w:szCs w:val="28"/>
        </w:rPr>
        <w:t>7.若学业类转专业接收人数有剩余，可接收学科专长类、特殊困难类、社会需求类转专业学生，所修课程加权平均学分绩点排名须在本年级本专业在籍在校前40%(含)以内，且按学科专长类、特殊困难类、社会需求类的先后顺序纳入专业接收总人数一并计算。</w:t>
      </w:r>
    </w:p>
    <w:p w14:paraId="6A8800DD" w14:textId="7F1734EA" w:rsidR="00722A35" w:rsidRDefault="007B2038">
      <w:pPr>
        <w:pStyle w:val="a7"/>
        <w:shd w:val="clear" w:color="auto" w:fill="FFFFFF"/>
        <w:spacing w:before="0" w:beforeAutospacing="0" w:after="0" w:afterAutospacing="0" w:line="600" w:lineRule="exact"/>
        <w:ind w:firstLine="600"/>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三、考核办法与选拔原则</w:t>
      </w:r>
    </w:p>
    <w:p w14:paraId="7E5351DB" w14:textId="77777777" w:rsidR="00722A35" w:rsidRDefault="007B2038">
      <w:pPr>
        <w:pStyle w:val="a7"/>
        <w:shd w:val="clear" w:color="auto" w:fill="FFFFFF"/>
        <w:spacing w:before="0" w:beforeAutospacing="0" w:after="0" w:afterAutospacing="0" w:line="600" w:lineRule="exact"/>
        <w:ind w:firstLine="600"/>
        <w:jc w:val="both"/>
        <w:rPr>
          <w:rFonts w:ascii="仿宋" w:eastAsia="仿宋" w:hAnsi="仿宋" w:cs="仿宋"/>
          <w:color w:val="FF0000"/>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符合转入条件的学生将按照在其本年级本专业的</w:t>
      </w:r>
      <w:r>
        <w:rPr>
          <w:rFonts w:ascii="仿宋" w:eastAsia="仿宋" w:hAnsi="仿宋" w:cs="仿宋" w:hint="eastAsia"/>
          <w:color w:val="000000" w:themeColor="text1"/>
          <w:kern w:val="2"/>
          <w:sz w:val="28"/>
          <w:szCs w:val="28"/>
        </w:rPr>
        <w:t>加权</w:t>
      </w:r>
      <w:r>
        <w:rPr>
          <w:rFonts w:ascii="仿宋" w:eastAsia="仿宋" w:hAnsi="仿宋" w:cs="仿宋" w:hint="eastAsia"/>
          <w:color w:val="000000" w:themeColor="text1"/>
          <w:sz w:val="28"/>
          <w:szCs w:val="28"/>
        </w:rPr>
        <w:t>平均学分绩点排名百分比从高到低录取。</w:t>
      </w:r>
    </w:p>
    <w:p w14:paraId="16114929" w14:textId="77777777" w:rsidR="00722A35" w:rsidRDefault="007B2038">
      <w:pPr>
        <w:pStyle w:val="a7"/>
        <w:shd w:val="clear" w:color="auto" w:fill="FFFFFF"/>
        <w:spacing w:before="0" w:beforeAutospacing="0" w:after="0" w:afterAutospacing="0" w:line="600" w:lineRule="exact"/>
        <w:ind w:firstLine="600"/>
        <w:jc w:val="both"/>
        <w:rPr>
          <w:rFonts w:ascii="仿宋" w:eastAsia="仿宋" w:hAnsi="仿宋" w:cs="仿宋"/>
          <w:sz w:val="28"/>
          <w:szCs w:val="28"/>
        </w:rPr>
      </w:pPr>
      <w:r>
        <w:rPr>
          <w:rFonts w:ascii="仿宋" w:eastAsia="仿宋" w:hAnsi="仿宋" w:cs="仿宋"/>
          <w:sz w:val="28"/>
          <w:szCs w:val="28"/>
        </w:rPr>
        <w:t>2.</w:t>
      </w:r>
      <w:r>
        <w:rPr>
          <w:rFonts w:ascii="仿宋" w:eastAsia="仿宋" w:hAnsi="仿宋" w:cs="仿宋" w:hint="eastAsia"/>
          <w:sz w:val="28"/>
          <w:szCs w:val="28"/>
        </w:rPr>
        <w:t>拟转入学生于4月30日前填写提交《</w:t>
      </w:r>
      <w:bookmarkStart w:id="2" w:name="OLE_LINK1"/>
      <w:bookmarkStart w:id="3" w:name="OLE_LINK2"/>
      <w:r>
        <w:rPr>
          <w:rFonts w:ascii="仿宋" w:eastAsia="仿宋" w:hAnsi="仿宋" w:cs="仿宋" w:hint="eastAsia"/>
          <w:sz w:val="28"/>
          <w:szCs w:val="28"/>
        </w:rPr>
        <w:t>西华大学学生转专业审批表</w:t>
      </w:r>
      <w:bookmarkEnd w:id="2"/>
      <w:bookmarkEnd w:id="3"/>
      <w:r>
        <w:rPr>
          <w:rFonts w:ascii="仿宋" w:eastAsia="仿宋" w:hAnsi="仿宋" w:cs="仿宋" w:hint="eastAsia"/>
          <w:sz w:val="28"/>
          <w:szCs w:val="28"/>
        </w:rPr>
        <w:t>》、成绩单、</w:t>
      </w:r>
      <w:r>
        <w:rPr>
          <w:rFonts w:ascii="仿宋" w:eastAsia="仿宋" w:hAnsi="仿宋" w:cs="仿宋" w:hint="eastAsia"/>
          <w:kern w:val="2"/>
          <w:sz w:val="28"/>
          <w:szCs w:val="28"/>
        </w:rPr>
        <w:t>加权</w:t>
      </w:r>
      <w:r>
        <w:rPr>
          <w:rFonts w:ascii="仿宋" w:eastAsia="仿宋" w:hAnsi="仿宋" w:cs="仿宋" w:hint="eastAsia"/>
          <w:sz w:val="28"/>
          <w:szCs w:val="28"/>
        </w:rPr>
        <w:t>平均学分绩点排名和</w:t>
      </w:r>
      <w:r>
        <w:rPr>
          <w:rFonts w:ascii="仿宋" w:eastAsia="仿宋" w:hAnsi="仿宋" w:cs="仿宋" w:hint="eastAsia"/>
          <w:kern w:val="2"/>
          <w:sz w:val="28"/>
          <w:szCs w:val="28"/>
        </w:rPr>
        <w:t>加权</w:t>
      </w:r>
      <w:r>
        <w:rPr>
          <w:rFonts w:ascii="仿宋" w:eastAsia="仿宋" w:hAnsi="仿宋" w:cs="仿宋" w:hint="eastAsia"/>
          <w:sz w:val="28"/>
          <w:szCs w:val="28"/>
        </w:rPr>
        <w:t>平均学分绩点排名百分比证明、高考理科综合或化学和物理成绩证明。联系人：冯老师；联系电话：8772</w:t>
      </w:r>
      <w:r>
        <w:rPr>
          <w:rFonts w:ascii="仿宋" w:eastAsia="仿宋" w:hAnsi="仿宋" w:cs="仿宋"/>
          <w:sz w:val="28"/>
          <w:szCs w:val="28"/>
        </w:rPr>
        <w:t>0514</w:t>
      </w:r>
      <w:r>
        <w:rPr>
          <w:rFonts w:ascii="仿宋" w:eastAsia="仿宋" w:hAnsi="仿宋" w:cs="仿宋" w:hint="eastAsia"/>
          <w:sz w:val="28"/>
          <w:szCs w:val="28"/>
        </w:rPr>
        <w:t>；办公地点：材料科学与工程学院教学办（5A-325）。</w:t>
      </w:r>
    </w:p>
    <w:p w14:paraId="3963A98D" w14:textId="77777777" w:rsidR="00722A35" w:rsidRDefault="007B2038">
      <w:pPr>
        <w:pStyle w:val="a7"/>
        <w:numPr>
          <w:ilvl w:val="0"/>
          <w:numId w:val="1"/>
        </w:numPr>
        <w:shd w:val="clear" w:color="auto" w:fill="FFFFFF"/>
        <w:spacing w:before="0" w:beforeAutospacing="0" w:after="0" w:afterAutospacing="0" w:line="600" w:lineRule="exact"/>
        <w:ind w:firstLine="600"/>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学院公示</w:t>
      </w:r>
    </w:p>
    <w:p w14:paraId="2C2995CF" w14:textId="77777777" w:rsidR="00722A35" w:rsidRDefault="007B2038">
      <w:pPr>
        <w:pStyle w:val="a7"/>
        <w:shd w:val="clear" w:color="auto" w:fill="FFFFFF"/>
        <w:spacing w:before="0" w:beforeAutospacing="0" w:after="0" w:afterAutospacing="0" w:line="600" w:lineRule="exact"/>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拟接收名单经材料科学与工程学院转专业工作考核小组审核后在学院网站公示，公示时间为5个工作日。公示期内自愿放弃转专业的，学院可根据考核办法依次进行补录。经学院公示无异议后，将拟接收学生名单报教务处。</w:t>
      </w:r>
    </w:p>
    <w:p w14:paraId="430A2C90" w14:textId="77777777" w:rsidR="00722A35" w:rsidRDefault="007B2038">
      <w:pPr>
        <w:pStyle w:val="a7"/>
        <w:shd w:val="clear" w:color="auto" w:fill="FFFFFF"/>
        <w:spacing w:before="0" w:beforeAutospacing="0" w:after="0" w:afterAutospacing="0" w:line="600" w:lineRule="exact"/>
        <w:ind w:firstLine="600"/>
        <w:rPr>
          <w:rFonts w:ascii="仿宋" w:eastAsia="仿宋" w:hAnsi="仿宋" w:cs="仿宋"/>
          <w:color w:val="000000" w:themeColor="text1"/>
          <w:sz w:val="28"/>
          <w:szCs w:val="28"/>
        </w:rPr>
      </w:pPr>
      <w:r>
        <w:rPr>
          <w:rFonts w:ascii="仿宋" w:eastAsia="仿宋" w:hAnsi="仿宋" w:cs="仿宋" w:hint="eastAsia"/>
          <w:b/>
          <w:color w:val="000000" w:themeColor="text1"/>
          <w:sz w:val="28"/>
          <w:szCs w:val="28"/>
        </w:rPr>
        <w:t xml:space="preserve">五、异议处理方式 </w:t>
      </w:r>
    </w:p>
    <w:p w14:paraId="1021BBB8" w14:textId="3855F942" w:rsidR="00722A35" w:rsidRDefault="007B2038">
      <w:pPr>
        <w:pStyle w:val="a7"/>
        <w:shd w:val="clear" w:color="auto" w:fill="FFFFFF"/>
        <w:spacing w:before="0" w:beforeAutospacing="0" w:after="0" w:afterAutospacing="0" w:line="600" w:lineRule="exact"/>
        <w:ind w:firstLine="60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若有关单位或个人对于公示</w:t>
      </w:r>
      <w:r>
        <w:rPr>
          <w:rFonts w:ascii="仿宋" w:eastAsia="仿宋" w:hAnsi="仿宋" w:cs="仿宋" w:hint="eastAsia"/>
          <w:color w:val="000000" w:themeColor="text1"/>
          <w:kern w:val="2"/>
          <w:sz w:val="28"/>
          <w:szCs w:val="28"/>
        </w:rPr>
        <w:t>结果存在异议，可在公示期内向材料科学与工程学院转专业工作考核小组和材料科学与工程学院纪律检查委员会提出。转专业工作考核小组联系人及电话：</w:t>
      </w:r>
      <w:r>
        <w:rPr>
          <w:rFonts w:ascii="仿宋" w:eastAsia="仿宋" w:hAnsi="仿宋" w:cs="仿宋" w:hint="eastAsia"/>
          <w:kern w:val="2"/>
          <w:sz w:val="28"/>
          <w:szCs w:val="28"/>
        </w:rPr>
        <w:t>谢老师（0</w:t>
      </w:r>
      <w:r>
        <w:rPr>
          <w:rFonts w:ascii="仿宋" w:eastAsia="仿宋" w:hAnsi="仿宋" w:cs="仿宋"/>
          <w:kern w:val="2"/>
          <w:sz w:val="28"/>
          <w:szCs w:val="28"/>
        </w:rPr>
        <w:t>28-</w:t>
      </w:r>
      <w:r>
        <w:rPr>
          <w:rFonts w:ascii="仿宋" w:eastAsia="仿宋" w:hAnsi="仿宋" w:cs="仿宋" w:hint="eastAsia"/>
          <w:kern w:val="2"/>
          <w:sz w:val="28"/>
          <w:szCs w:val="28"/>
        </w:rPr>
        <w:t>87720514），纪律检查委员会联系人及电话：马老师（0</w:t>
      </w:r>
      <w:r>
        <w:rPr>
          <w:rFonts w:ascii="仿宋" w:eastAsia="仿宋" w:hAnsi="仿宋" w:cs="仿宋"/>
          <w:kern w:val="2"/>
          <w:sz w:val="28"/>
          <w:szCs w:val="28"/>
        </w:rPr>
        <w:t>28-</w:t>
      </w:r>
      <w:r>
        <w:rPr>
          <w:rFonts w:ascii="仿宋" w:eastAsia="仿宋" w:hAnsi="仿宋" w:cs="仿宋" w:hint="eastAsia"/>
          <w:kern w:val="2"/>
          <w:sz w:val="28"/>
          <w:szCs w:val="28"/>
        </w:rPr>
        <w:t>87726519）。工作考核小组和</w:t>
      </w:r>
      <w:r>
        <w:rPr>
          <w:rFonts w:ascii="仿宋" w:eastAsia="仿宋" w:hAnsi="仿宋" w:cs="仿宋" w:hint="eastAsia"/>
          <w:kern w:val="2"/>
          <w:sz w:val="28"/>
          <w:szCs w:val="28"/>
        </w:rPr>
        <w:lastRenderedPageBreak/>
        <w:t>纪检委员会将对提出的异议进行</w:t>
      </w:r>
      <w:r>
        <w:rPr>
          <w:rFonts w:ascii="仿宋" w:eastAsia="仿宋" w:hAnsi="仿宋" w:cs="仿宋" w:hint="eastAsia"/>
          <w:color w:val="000000" w:themeColor="text1"/>
          <w:kern w:val="2"/>
          <w:sz w:val="28"/>
          <w:szCs w:val="28"/>
        </w:rPr>
        <w:t>调查核实，并将调查核实结果反馈给申述人。</w:t>
      </w:r>
    </w:p>
    <w:p w14:paraId="77687DC1" w14:textId="5D8777B7" w:rsidR="00722A35" w:rsidRDefault="007B2038">
      <w:pPr>
        <w:pStyle w:val="a7"/>
        <w:shd w:val="clear" w:color="auto" w:fill="FFFFFF"/>
        <w:spacing w:before="0" w:beforeAutospacing="0" w:after="0" w:afterAutospacing="0" w:line="600" w:lineRule="exact"/>
        <w:ind w:firstLine="601"/>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六、其他</w:t>
      </w:r>
    </w:p>
    <w:p w14:paraId="310543A6" w14:textId="5B4E8A7E" w:rsidR="00722A35" w:rsidRDefault="007B2038" w:rsidP="00F0280A">
      <w:pPr>
        <w:pStyle w:val="a7"/>
        <w:widowControl/>
        <w:shd w:val="clear" w:color="auto" w:fill="FFFFFF"/>
        <w:spacing w:before="0" w:beforeAutospacing="0" w:after="0" w:afterAutospacing="0" w:line="600" w:lineRule="exact"/>
        <w:ind w:firstLineChars="200" w:firstLine="560"/>
        <w:rPr>
          <w:rFonts w:ascii="仿宋" w:eastAsia="仿宋" w:hAnsi="仿宋" w:cs="仿宋"/>
          <w:sz w:val="28"/>
          <w:szCs w:val="28"/>
        </w:rPr>
      </w:pPr>
      <w:r>
        <w:rPr>
          <w:rFonts w:ascii="仿宋" w:eastAsia="仿宋" w:hAnsi="仿宋" w:cs="仿宋" w:hint="eastAsia"/>
          <w:sz w:val="28"/>
          <w:szCs w:val="28"/>
        </w:rPr>
        <w:t>本方案由材料科学与工程学院转专业工作考核小组负责解释。</w:t>
      </w:r>
    </w:p>
    <w:sectPr w:rsidR="00722A35" w:rsidSect="00F0280A">
      <w:pgSz w:w="11906" w:h="16838"/>
      <w:pgMar w:top="1418" w:right="1418" w:bottom="1418"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16F5F"/>
    <w:multiLevelType w:val="singleLevel"/>
    <w:tmpl w:val="0C916F5F"/>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IyYmZhZTJiOWRlMzYyNzQ1MzRkMjExMTkxNDkyN2UifQ=="/>
    <w:docVar w:name="KSO_WPS_MARK_KEY" w:val="422bd97c-285f-435d-9bbf-046856ac938b"/>
  </w:docVars>
  <w:rsids>
    <w:rsidRoot w:val="25EE061D"/>
    <w:rsid w:val="00025DB8"/>
    <w:rsid w:val="00027930"/>
    <w:rsid w:val="000F176B"/>
    <w:rsid w:val="0010471F"/>
    <w:rsid w:val="001105ED"/>
    <w:rsid w:val="001133CF"/>
    <w:rsid w:val="001908AF"/>
    <w:rsid w:val="001E53C1"/>
    <w:rsid w:val="00237CD2"/>
    <w:rsid w:val="002B1066"/>
    <w:rsid w:val="002B2C6B"/>
    <w:rsid w:val="00382DC4"/>
    <w:rsid w:val="003845DC"/>
    <w:rsid w:val="00386FB0"/>
    <w:rsid w:val="003973D1"/>
    <w:rsid w:val="00402845"/>
    <w:rsid w:val="004340EF"/>
    <w:rsid w:val="00436EE9"/>
    <w:rsid w:val="00442E83"/>
    <w:rsid w:val="0048110E"/>
    <w:rsid w:val="00484B0F"/>
    <w:rsid w:val="004B2191"/>
    <w:rsid w:val="004B728A"/>
    <w:rsid w:val="004C4730"/>
    <w:rsid w:val="004E7C9B"/>
    <w:rsid w:val="00510C12"/>
    <w:rsid w:val="00515960"/>
    <w:rsid w:val="00530EF0"/>
    <w:rsid w:val="00543695"/>
    <w:rsid w:val="005455D2"/>
    <w:rsid w:val="00587BB2"/>
    <w:rsid w:val="006126D2"/>
    <w:rsid w:val="006708D5"/>
    <w:rsid w:val="00685A5C"/>
    <w:rsid w:val="00722A35"/>
    <w:rsid w:val="00751541"/>
    <w:rsid w:val="007B2038"/>
    <w:rsid w:val="007C03B6"/>
    <w:rsid w:val="007F31ED"/>
    <w:rsid w:val="00855C0D"/>
    <w:rsid w:val="008743A9"/>
    <w:rsid w:val="008852A6"/>
    <w:rsid w:val="00886C2E"/>
    <w:rsid w:val="008E0395"/>
    <w:rsid w:val="00924B23"/>
    <w:rsid w:val="009B6D7C"/>
    <w:rsid w:val="009F164A"/>
    <w:rsid w:val="00A1128E"/>
    <w:rsid w:val="00A17F9B"/>
    <w:rsid w:val="00A41370"/>
    <w:rsid w:val="00A617F0"/>
    <w:rsid w:val="00AA1628"/>
    <w:rsid w:val="00AC10A3"/>
    <w:rsid w:val="00AC505D"/>
    <w:rsid w:val="00AE5A39"/>
    <w:rsid w:val="00AF204E"/>
    <w:rsid w:val="00B07872"/>
    <w:rsid w:val="00B374A1"/>
    <w:rsid w:val="00C25A87"/>
    <w:rsid w:val="00C33CBE"/>
    <w:rsid w:val="00C506FA"/>
    <w:rsid w:val="00CA06DE"/>
    <w:rsid w:val="00CF1212"/>
    <w:rsid w:val="00CF6F7C"/>
    <w:rsid w:val="00D03A46"/>
    <w:rsid w:val="00DD0617"/>
    <w:rsid w:val="00DD7DC7"/>
    <w:rsid w:val="00E00E1F"/>
    <w:rsid w:val="00E66ADF"/>
    <w:rsid w:val="00EC2EDA"/>
    <w:rsid w:val="00ED71AC"/>
    <w:rsid w:val="00EE06B0"/>
    <w:rsid w:val="00EE291F"/>
    <w:rsid w:val="00F0280A"/>
    <w:rsid w:val="00F03DA8"/>
    <w:rsid w:val="00F86F61"/>
    <w:rsid w:val="017D6F3D"/>
    <w:rsid w:val="05D372BD"/>
    <w:rsid w:val="063674DE"/>
    <w:rsid w:val="09B421E7"/>
    <w:rsid w:val="0AE1109A"/>
    <w:rsid w:val="0AED0606"/>
    <w:rsid w:val="0B681889"/>
    <w:rsid w:val="0C81174F"/>
    <w:rsid w:val="0CE95B0D"/>
    <w:rsid w:val="0D0E0ACD"/>
    <w:rsid w:val="0D7F4B32"/>
    <w:rsid w:val="0DA77C5A"/>
    <w:rsid w:val="0F587009"/>
    <w:rsid w:val="0FAD59F1"/>
    <w:rsid w:val="14DF00CB"/>
    <w:rsid w:val="15444E8B"/>
    <w:rsid w:val="15A844F0"/>
    <w:rsid w:val="165536E0"/>
    <w:rsid w:val="17D1379A"/>
    <w:rsid w:val="19F0370D"/>
    <w:rsid w:val="1AC12BDE"/>
    <w:rsid w:val="1DA60751"/>
    <w:rsid w:val="1E4706F5"/>
    <w:rsid w:val="1F495FFD"/>
    <w:rsid w:val="1F896D6A"/>
    <w:rsid w:val="201F279C"/>
    <w:rsid w:val="20301EE3"/>
    <w:rsid w:val="229F51DC"/>
    <w:rsid w:val="22C74532"/>
    <w:rsid w:val="232B2294"/>
    <w:rsid w:val="238910E7"/>
    <w:rsid w:val="23CE74D2"/>
    <w:rsid w:val="23F16D6B"/>
    <w:rsid w:val="244D6B35"/>
    <w:rsid w:val="257F0B1B"/>
    <w:rsid w:val="25EE061D"/>
    <w:rsid w:val="29796C62"/>
    <w:rsid w:val="29CE5879"/>
    <w:rsid w:val="2D0D7E7F"/>
    <w:rsid w:val="2EE34480"/>
    <w:rsid w:val="30666F52"/>
    <w:rsid w:val="30FE0918"/>
    <w:rsid w:val="32484C1B"/>
    <w:rsid w:val="32CE1FCA"/>
    <w:rsid w:val="344C23E9"/>
    <w:rsid w:val="36543592"/>
    <w:rsid w:val="37171789"/>
    <w:rsid w:val="39D61546"/>
    <w:rsid w:val="3C314FC9"/>
    <w:rsid w:val="3F233DA7"/>
    <w:rsid w:val="401541B2"/>
    <w:rsid w:val="41124534"/>
    <w:rsid w:val="416A4C0A"/>
    <w:rsid w:val="43686B13"/>
    <w:rsid w:val="44FD2FB7"/>
    <w:rsid w:val="457603DB"/>
    <w:rsid w:val="46BF4C9C"/>
    <w:rsid w:val="47786AB9"/>
    <w:rsid w:val="47D979EC"/>
    <w:rsid w:val="493745C6"/>
    <w:rsid w:val="499D10C5"/>
    <w:rsid w:val="49E47315"/>
    <w:rsid w:val="4B896477"/>
    <w:rsid w:val="4D471A18"/>
    <w:rsid w:val="4DCC5F5A"/>
    <w:rsid w:val="4E2528C4"/>
    <w:rsid w:val="52D85A26"/>
    <w:rsid w:val="551074B8"/>
    <w:rsid w:val="56DA592C"/>
    <w:rsid w:val="56E868DB"/>
    <w:rsid w:val="59564E27"/>
    <w:rsid w:val="59EA1F2D"/>
    <w:rsid w:val="5A2F38FA"/>
    <w:rsid w:val="5AE56E1D"/>
    <w:rsid w:val="5BAA0068"/>
    <w:rsid w:val="5BDF5C70"/>
    <w:rsid w:val="5CBE5D7E"/>
    <w:rsid w:val="6125204E"/>
    <w:rsid w:val="61B26BD1"/>
    <w:rsid w:val="64751FD5"/>
    <w:rsid w:val="64E73940"/>
    <w:rsid w:val="6571289C"/>
    <w:rsid w:val="67986ED7"/>
    <w:rsid w:val="692C4A1B"/>
    <w:rsid w:val="69D02B99"/>
    <w:rsid w:val="6BA348E9"/>
    <w:rsid w:val="70CE7620"/>
    <w:rsid w:val="72403DE5"/>
    <w:rsid w:val="72AE78CD"/>
    <w:rsid w:val="72D34A17"/>
    <w:rsid w:val="764E024A"/>
    <w:rsid w:val="76BA080E"/>
    <w:rsid w:val="788A3B57"/>
    <w:rsid w:val="7894263A"/>
    <w:rsid w:val="7A1B7E60"/>
    <w:rsid w:val="7C616AC8"/>
    <w:rsid w:val="7CD820F4"/>
    <w:rsid w:val="7E534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AB8AD"/>
  <w15:docId w15:val="{E9CC3FAF-2452-4C96-9234-BB458F45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rFonts w:cs="Times New Roman"/>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qFormat/>
    <w:rPr>
      <w:b/>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177</Words>
  <Characters>1012</Characters>
  <Application>Microsoft Office Word</Application>
  <DocSecurity>0</DocSecurity>
  <Lines>8</Lines>
  <Paragraphs>2</Paragraphs>
  <ScaleCrop>false</ScaleCrop>
  <Company>HP Inc.</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庄发文</dc:creator>
  <cp:lastModifiedBy>付成华</cp:lastModifiedBy>
  <cp:revision>27</cp:revision>
  <dcterms:created xsi:type="dcterms:W3CDTF">2024-04-12T01:26:00Z</dcterms:created>
  <dcterms:modified xsi:type="dcterms:W3CDTF">2026-04-26T08:12:00Z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8797F32F47304B509C2C1530282A6E27_13</vt:lpwstr>
  </property>
  <property fmtid="{D5CDD505-2E9C-101B-9397-08002B2CF9AE}" pid="4" name="KSOTemplateDocerSaveRecord">
    <vt:lpwstr>eyJoZGlkIjoiYWVkMDgxMWIwNjRmMjdhM2FjY2U2YTU3YTc2NDA3MzkiLCJ1c2VySWQiOiIxNDQyNjk5NTM3In0=</vt:lpwstr>
  </property>
</Properties>
</file>